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15" w:rsidRPr="009C6F15" w:rsidRDefault="009C6F15" w:rsidP="009C6F15">
      <w:pPr>
        <w:tabs>
          <w:tab w:val="left" w:leader="dot" w:pos="9072"/>
        </w:tabs>
        <w:spacing w:before="120" w:after="120" w:line="360" w:lineRule="auto"/>
        <w:jc w:val="center"/>
        <w:rPr>
          <w:rFonts w:ascii="Arial" w:hAnsi="Arial"/>
          <w:b/>
          <w:bCs/>
          <w:color w:val="0000FF"/>
        </w:rPr>
      </w:pPr>
      <w:r w:rsidRPr="009C6F15">
        <w:rPr>
          <w:rFonts w:ascii="Arial" w:hAnsi="Arial"/>
          <w:b/>
          <w:bCs/>
          <w:color w:val="0000FF"/>
        </w:rPr>
        <w:t>CENTRAL DE GÁS LIQÜEFEITO DE PETRÓLEO</w:t>
      </w:r>
      <w:r w:rsidR="001A71B0">
        <w:rPr>
          <w:rFonts w:ascii="Arial" w:hAnsi="Arial"/>
          <w:b/>
          <w:bCs/>
          <w:color w:val="0000FF"/>
        </w:rPr>
        <w:t xml:space="preserve"> - GLP</w:t>
      </w:r>
    </w:p>
    <w:p w:rsidR="009C6F15" w:rsidRPr="001A71B0" w:rsidRDefault="009C6F15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Cs/>
        </w:rPr>
      </w:pPr>
    </w:p>
    <w:p w:rsidR="00DB6B99" w:rsidRDefault="00DB6B99" w:rsidP="00DB6B9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DB6B99">
        <w:rPr>
          <w:rFonts w:ascii="Arial" w:hAnsi="Arial" w:cs="Arial"/>
          <w:b/>
          <w:bCs/>
          <w:color w:val="0000FF"/>
        </w:rPr>
        <w:t>OBJETIVO:</w:t>
      </w:r>
    </w:p>
    <w:p w:rsidR="00D449A5" w:rsidRPr="00DB6B99" w:rsidRDefault="00D449A5" w:rsidP="00D449A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</w:p>
    <w:p w:rsidR="009C6F15" w:rsidRDefault="009C6F15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O presente documento apresenta o descritivo do projeto básico das Instalações de gás liquefeito de petróleo (GLP),</w:t>
      </w:r>
      <w:r w:rsidR="001A71B0" w:rsidRPr="001A71B0">
        <w:rPr>
          <w:rFonts w:ascii="Arial" w:hAnsi="Arial" w:cs="Arial"/>
        </w:rPr>
        <w:t xml:space="preserve"> conforme as regras da </w:t>
      </w:r>
      <w:r w:rsidRPr="001A71B0">
        <w:rPr>
          <w:rFonts w:ascii="Arial" w:hAnsi="Arial" w:cs="Arial"/>
        </w:rPr>
        <w:t>ABNT.</w:t>
      </w:r>
      <w:r w:rsidR="001A71B0" w:rsidRPr="001A71B0">
        <w:rPr>
          <w:rFonts w:ascii="Arial" w:hAnsi="Arial" w:cs="Arial"/>
        </w:rPr>
        <w:t xml:space="preserve"> NBR 15358/1</w:t>
      </w:r>
      <w:r w:rsidR="00DB6B99">
        <w:rPr>
          <w:rFonts w:ascii="Arial" w:hAnsi="Arial" w:cs="Arial"/>
        </w:rPr>
        <w:t>4 e</w:t>
      </w:r>
      <w:r w:rsidRPr="001A71B0">
        <w:rPr>
          <w:rFonts w:ascii="Arial" w:hAnsi="Arial" w:cs="Arial"/>
        </w:rPr>
        <w:t xml:space="preserve"> </w:t>
      </w:r>
      <w:r w:rsidR="001A71B0" w:rsidRPr="001A71B0">
        <w:rPr>
          <w:rFonts w:ascii="Arial" w:hAnsi="Arial" w:cs="Arial"/>
        </w:rPr>
        <w:t>NBR 13523/08</w:t>
      </w:r>
      <w:r w:rsidRPr="001A71B0">
        <w:rPr>
          <w:rFonts w:ascii="Arial" w:hAnsi="Arial" w:cs="Arial"/>
        </w:rPr>
        <w:t>.</w:t>
      </w:r>
    </w:p>
    <w:p w:rsidR="00DB6B99" w:rsidRDefault="00DB6B99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NBR 15358/1</w:t>
      </w:r>
      <w:r>
        <w:rPr>
          <w:rFonts w:ascii="Arial" w:hAnsi="Arial" w:cs="Arial"/>
        </w:rPr>
        <w:t xml:space="preserve">4 – Rede de distribuição interna para gás combustível em instalações de uso não residencial de até 400kPa – Projeto e execução </w:t>
      </w:r>
    </w:p>
    <w:p w:rsidR="00DB6B99" w:rsidRPr="001A71B0" w:rsidRDefault="00DB6B99" w:rsidP="001A71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</w:rPr>
      </w:pPr>
      <w:r w:rsidRPr="001A71B0">
        <w:rPr>
          <w:rFonts w:ascii="Arial" w:hAnsi="Arial" w:cs="Arial"/>
        </w:rPr>
        <w:t>NBR 13523/08</w:t>
      </w:r>
      <w:r>
        <w:rPr>
          <w:rFonts w:ascii="Arial" w:hAnsi="Arial" w:cs="Arial"/>
        </w:rPr>
        <w:t xml:space="preserve"> – Central de Gás liquefeito de petróleo - GLP</w:t>
      </w:r>
    </w:p>
    <w:p w:rsidR="009C6F15" w:rsidRPr="001A71B0" w:rsidRDefault="009C6F15" w:rsidP="009C6F1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FF0000"/>
        </w:rPr>
      </w:pPr>
    </w:p>
    <w:p w:rsidR="009C6F15" w:rsidRPr="00DB6B99" w:rsidRDefault="009C6F15" w:rsidP="00DB6B9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DB6B99">
        <w:rPr>
          <w:rFonts w:ascii="Arial" w:hAnsi="Arial" w:cs="Arial"/>
          <w:b/>
          <w:bCs/>
          <w:color w:val="0000FF"/>
        </w:rPr>
        <w:t>PARÂMETROS LEGAIS E NORMATIVOS</w:t>
      </w:r>
    </w:p>
    <w:p w:rsidR="009C6F15" w:rsidRPr="001A71B0" w:rsidRDefault="009C6F15" w:rsidP="009C6F1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</w:p>
    <w:p w:rsidR="009C6F15" w:rsidRPr="006E4141" w:rsidRDefault="006E4141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E4141">
        <w:rPr>
          <w:rFonts w:ascii="Arial" w:hAnsi="Arial" w:cs="Arial"/>
        </w:rPr>
        <w:t>A NBR 15358</w:t>
      </w:r>
      <w:r w:rsidR="009C6F15" w:rsidRPr="006E4141">
        <w:rPr>
          <w:rFonts w:ascii="Arial" w:hAnsi="Arial" w:cs="Arial"/>
        </w:rPr>
        <w:t>/12 E NBR 13523</w:t>
      </w:r>
      <w:r w:rsidRPr="006E4141">
        <w:rPr>
          <w:rFonts w:ascii="Arial" w:hAnsi="Arial" w:cs="Arial"/>
        </w:rPr>
        <w:t>/08</w:t>
      </w:r>
      <w:r w:rsidR="009C6F15" w:rsidRPr="006E4141">
        <w:rPr>
          <w:rFonts w:ascii="Arial" w:hAnsi="Arial" w:cs="Arial"/>
        </w:rPr>
        <w:t>, estabelecem critérios para a execução e para projetos de instalação de gás liquefeito de petróleo:</w:t>
      </w:r>
    </w:p>
    <w:p w:rsidR="009C6F15" w:rsidRPr="000D0390" w:rsidRDefault="00A41081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u w:val="single"/>
        </w:rPr>
      </w:pPr>
      <w:r w:rsidRPr="000D0390">
        <w:rPr>
          <w:rFonts w:ascii="Arial" w:hAnsi="Arial" w:cs="Arial"/>
          <w:bCs/>
        </w:rPr>
        <w:t xml:space="preserve">A </w:t>
      </w:r>
      <w:r w:rsidR="009C6F15" w:rsidRPr="000D0390">
        <w:rPr>
          <w:rFonts w:ascii="Arial" w:hAnsi="Arial" w:cs="Arial"/>
          <w:bCs/>
        </w:rPr>
        <w:t>Central de gás</w:t>
      </w:r>
      <w:r w:rsidR="001E289A" w:rsidRPr="000D0390">
        <w:rPr>
          <w:rFonts w:ascii="Arial" w:hAnsi="Arial" w:cs="Arial"/>
          <w:bCs/>
        </w:rPr>
        <w:t xml:space="preserve"> </w:t>
      </w:r>
      <w:r w:rsidRPr="000D0390">
        <w:rPr>
          <w:rFonts w:ascii="Arial" w:hAnsi="Arial" w:cs="Arial"/>
          <w:bCs/>
        </w:rPr>
        <w:t xml:space="preserve">que usaremos nas escolas </w:t>
      </w:r>
      <w:r w:rsidR="001E289A" w:rsidRPr="000D0390">
        <w:rPr>
          <w:rFonts w:ascii="Arial" w:hAnsi="Arial" w:cs="Arial"/>
          <w:bCs/>
        </w:rPr>
        <w:t>(Padrão SEDUC) vem</w:t>
      </w:r>
      <w:r w:rsidR="009C6F15" w:rsidRPr="000D0390">
        <w:rPr>
          <w:rFonts w:ascii="Arial" w:hAnsi="Arial" w:cs="Arial"/>
          <w:bCs/>
        </w:rPr>
        <w:t xml:space="preserve"> com 02 cilindros com capacidade de </w:t>
      </w:r>
      <w:r w:rsidR="001A71B0" w:rsidRPr="000D0390">
        <w:rPr>
          <w:rFonts w:ascii="Arial" w:hAnsi="Arial" w:cs="Arial"/>
          <w:bCs/>
        </w:rPr>
        <w:t>P</w:t>
      </w:r>
      <w:r w:rsidR="009C6F15" w:rsidRPr="000D0390">
        <w:rPr>
          <w:rFonts w:ascii="Arial" w:hAnsi="Arial" w:cs="Arial"/>
          <w:bCs/>
        </w:rPr>
        <w:t>45, com capacidade volumétrica de 0,09m³ cada.</w:t>
      </w:r>
    </w:p>
    <w:p w:rsidR="009C6F15" w:rsidRPr="000D0390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0D0390">
        <w:rPr>
          <w:rFonts w:ascii="Arial" w:hAnsi="Arial" w:cs="Arial"/>
          <w:bCs/>
        </w:rPr>
        <w:t>Recipiente transportável com capacidade volumétrica total igual ou inferior a 0,5 m³ (aproximadamente 250 kg capacidade de GLP), projetado e construído conforme ABNT NBR 8460, abastecido por massa em base de engarrafamento e transportado cheio para troca.</w:t>
      </w:r>
    </w:p>
    <w:p w:rsidR="00125BA5" w:rsidRDefault="00125BA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i/>
          <w:color w:val="0000FF"/>
          <w:u w:val="single"/>
        </w:rPr>
      </w:pPr>
    </w:p>
    <w:p w:rsidR="00125BA5" w:rsidRPr="00125BA5" w:rsidRDefault="00125BA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125BA5">
        <w:rPr>
          <w:rFonts w:ascii="Arial" w:hAnsi="Arial" w:cs="Arial"/>
          <w:b/>
          <w:bCs/>
          <w:i/>
          <w:color w:val="0000FF"/>
          <w:u w:val="single"/>
        </w:rPr>
        <w:t>QUANTO AOS MATERIAIS:</w:t>
      </w:r>
    </w:p>
    <w:p w:rsidR="002E7E07" w:rsidRDefault="002E7E07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2E7E07" w:rsidRPr="00BB335E" w:rsidRDefault="002E7E07" w:rsidP="002E7E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PARA EXECUÇÃO DA REDE DE DISTRIBUIÇÃO INTERNA</w:t>
      </w:r>
    </w:p>
    <w:p w:rsidR="002E7E07" w:rsidRPr="00AA4419" w:rsidRDefault="002E7E07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AA4419">
        <w:rPr>
          <w:rFonts w:ascii="Arial" w:hAnsi="Arial" w:cs="Arial"/>
          <w:b/>
          <w:bCs/>
          <w:color w:val="000000"/>
        </w:rPr>
        <w:t>Tubos:</w:t>
      </w:r>
    </w:p>
    <w:p w:rsidR="00BB335E" w:rsidRPr="00BB335E" w:rsidRDefault="00125BA5" w:rsidP="00AE049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BB335E" w:rsidRPr="00BB335E">
        <w:rPr>
          <w:rFonts w:ascii="Arial" w:hAnsi="Arial" w:cs="Arial"/>
          <w:bCs/>
          <w:color w:val="000000"/>
        </w:rPr>
        <w:t xml:space="preserve"> de condução de aço-carbono, com ou sem costura, conforme ABNT NBR 5580 no mínimo classe média, ABNT NBR 5590 no mínimo classe normal e API 5-L no mínimo grau A com espessura mínima correspondente a SCH40 conforme ANSI/ASME B36.10M;</w:t>
      </w:r>
    </w:p>
    <w:p w:rsidR="00BB335E" w:rsidRPr="00BB335E" w:rsidRDefault="00125BA5" w:rsidP="002011A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BB335E" w:rsidRPr="00BB335E">
        <w:rPr>
          <w:rFonts w:ascii="Arial" w:hAnsi="Arial" w:cs="Arial"/>
          <w:bCs/>
          <w:color w:val="000000"/>
        </w:rPr>
        <w:t xml:space="preserve"> de condução de polietileno (PE80 ou PE100), para redes </w:t>
      </w:r>
      <w:r w:rsidRPr="00BB335E">
        <w:rPr>
          <w:rFonts w:ascii="Arial" w:hAnsi="Arial" w:cs="Arial"/>
          <w:bCs/>
          <w:color w:val="000000"/>
        </w:rPr>
        <w:t>enterradas, conforme</w:t>
      </w:r>
      <w:r w:rsidRPr="00125BA5">
        <w:rPr>
          <w:rFonts w:ascii="Arial" w:hAnsi="Arial" w:cs="Arial"/>
          <w:bCs/>
          <w:color w:val="000000"/>
        </w:rPr>
        <w:t xml:space="preserve"> </w:t>
      </w:r>
      <w:r w:rsidR="00BB335E" w:rsidRPr="00BB335E">
        <w:rPr>
          <w:rFonts w:ascii="Arial" w:hAnsi="Arial" w:cs="Arial"/>
          <w:bCs/>
          <w:color w:val="000000"/>
        </w:rPr>
        <w:t>ABNT NBR 14462, somente utilizados</w:t>
      </w:r>
      <w:r w:rsidRPr="00125BA5">
        <w:rPr>
          <w:rFonts w:ascii="Arial" w:hAnsi="Arial" w:cs="Arial"/>
          <w:bCs/>
          <w:color w:val="000000"/>
        </w:rPr>
        <w:t xml:space="preserve"> </w:t>
      </w:r>
      <w:r w:rsidR="00BB335E" w:rsidRPr="00BB335E">
        <w:rPr>
          <w:rFonts w:ascii="Arial" w:hAnsi="Arial" w:cs="Arial"/>
          <w:bCs/>
          <w:color w:val="000000"/>
        </w:rPr>
        <w:t>em trechos enterrados e externos às projeções horizontais das edificações.</w:t>
      </w:r>
    </w:p>
    <w:p w:rsidR="002E7E07" w:rsidRDefault="002E7E07" w:rsidP="002E7E07">
      <w:pPr>
        <w:pStyle w:val="PargrafodaLista"/>
        <w:autoSpaceDE w:val="0"/>
        <w:autoSpaceDN w:val="0"/>
        <w:adjustRightInd w:val="0"/>
        <w:spacing w:line="360" w:lineRule="auto"/>
        <w:ind w:left="1069"/>
        <w:jc w:val="both"/>
        <w:rPr>
          <w:rFonts w:ascii="Arial" w:hAnsi="Arial" w:cs="Arial"/>
          <w:bCs/>
          <w:color w:val="000000"/>
        </w:rPr>
      </w:pPr>
    </w:p>
    <w:p w:rsidR="002E7E07" w:rsidRPr="00BB335E" w:rsidRDefault="002E7E07" w:rsidP="002E7E0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PARA A EXCECUÇÃO DAS CONEXÕES</w:t>
      </w:r>
    </w:p>
    <w:p w:rsidR="002E7E07" w:rsidRPr="00AA4419" w:rsidRDefault="002E7E07" w:rsidP="002E7E0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A4419">
        <w:rPr>
          <w:rFonts w:ascii="Arial" w:hAnsi="Arial" w:cs="Arial"/>
          <w:b/>
          <w:bCs/>
          <w:color w:val="000000"/>
        </w:rPr>
        <w:t>Conexões:</w:t>
      </w:r>
    </w:p>
    <w:p w:rsidR="00BB335E" w:rsidRPr="00BB335E" w:rsidRDefault="00BB335E" w:rsidP="00BB33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Conexões de aço forjado, conforme ASME/ANSI B16.9;</w:t>
      </w:r>
    </w:p>
    <w:p w:rsidR="00BB335E" w:rsidRDefault="00BB335E" w:rsidP="00EB4E6D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 xml:space="preserve"> Conexões de ferro fundido maleável, conforme ABNT NBR 6943, ABNT NBR 6925 ou ASME/ANSI B16.3;</w:t>
      </w:r>
    </w:p>
    <w:p w:rsidR="00BB335E" w:rsidRPr="00BB335E" w:rsidRDefault="00BB335E" w:rsidP="000E637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 xml:space="preserve">Conexões de polietileno (PE80 ou PE100) para redes enterradas, conforme ABNT NBR 14463; </w:t>
      </w:r>
    </w:p>
    <w:p w:rsidR="00BB335E" w:rsidRDefault="00BB335E" w:rsidP="00BB335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lastRenderedPageBreak/>
        <w:t xml:space="preserve"> Conexões para transição entre tubos de polietileno e tubos metálicos, para redes enterradas, conforme ASTM D 2513 e ASTM F 1973; </w:t>
      </w:r>
    </w:p>
    <w:p w:rsidR="00BB335E" w:rsidRPr="00BB335E" w:rsidRDefault="00BB335E" w:rsidP="00790F9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Conexões de ferro fundido maleável com terminais de compressão para uso com tubos de polietileno, ou transição entre tubos de polietileno e tubos metálicos, para redes enterradas, conforme ISO 10838-1 ou DIN 3387.</w:t>
      </w:r>
    </w:p>
    <w:p w:rsidR="002E7E07" w:rsidRPr="002E7E07" w:rsidRDefault="002E7E07" w:rsidP="000A293C">
      <w:pPr>
        <w:pStyle w:val="PargrafodaLista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Cs/>
          <w:color w:val="000000"/>
        </w:rPr>
      </w:pPr>
    </w:p>
    <w:p w:rsidR="000A293C" w:rsidRDefault="00BB335E" w:rsidP="00BB335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ELEMENTOS PARA INTERLIGAÇÃO</w:t>
      </w:r>
    </w:p>
    <w:p w:rsidR="000A293C" w:rsidRDefault="000A293C" w:rsidP="000A293C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Para se efetuar a interligação entre a tubulação e o aparelho a gás, medidor e dispositivos de</w:t>
      </w:r>
      <w:r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 xml:space="preserve">instrumentação, são admitidos: </w:t>
      </w:r>
    </w:p>
    <w:p w:rsidR="000A293C" w:rsidRPr="000A293C" w:rsidRDefault="000A293C" w:rsidP="00A778BF">
      <w:pPr>
        <w:pStyle w:val="PargrafodaLista"/>
        <w:autoSpaceDE w:val="0"/>
        <w:autoSpaceDN w:val="0"/>
        <w:adjustRightInd w:val="0"/>
        <w:spacing w:line="360" w:lineRule="auto"/>
        <w:ind w:left="1429"/>
        <w:jc w:val="both"/>
        <w:rPr>
          <w:rFonts w:ascii="Arial" w:hAnsi="Arial" w:cs="Arial"/>
          <w:bCs/>
          <w:color w:val="000000"/>
        </w:rPr>
      </w:pPr>
    </w:p>
    <w:p w:rsidR="000A293C" w:rsidRPr="00A778BF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Mangueiras</w:t>
      </w:r>
      <w:r w:rsidR="000A293C" w:rsidRPr="00A778BF">
        <w:rPr>
          <w:rFonts w:ascii="Arial" w:hAnsi="Arial" w:cs="Arial"/>
          <w:bCs/>
          <w:color w:val="000000"/>
        </w:rPr>
        <w:t xml:space="preserve"> flexíveis de borracha, compatíveis com a pressão de operação, conforme ABNT NBR 13419;</w:t>
      </w:r>
    </w:p>
    <w:p w:rsidR="000A293C" w:rsidRPr="000A293C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Tubos</w:t>
      </w:r>
      <w:r w:rsidR="000A293C" w:rsidRPr="000A293C">
        <w:rPr>
          <w:rFonts w:ascii="Arial" w:hAnsi="Arial" w:cs="Arial"/>
          <w:bCs/>
          <w:color w:val="000000"/>
        </w:rPr>
        <w:t xml:space="preserve"> flexíveis metálicos, conforme ABNT NBR 14177;</w:t>
      </w:r>
    </w:p>
    <w:p w:rsidR="000A293C" w:rsidRPr="000A293C" w:rsidRDefault="00BB335E" w:rsidP="00A778B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335E">
        <w:rPr>
          <w:rFonts w:ascii="Arial" w:hAnsi="Arial" w:cs="Arial"/>
          <w:bCs/>
          <w:color w:val="000000"/>
        </w:rPr>
        <w:t>Tubos</w:t>
      </w:r>
      <w:r w:rsidR="000A293C" w:rsidRPr="000A293C">
        <w:rPr>
          <w:rFonts w:ascii="Arial" w:hAnsi="Arial" w:cs="Arial"/>
          <w:bCs/>
          <w:color w:val="000000"/>
        </w:rPr>
        <w:t xml:space="preserve"> flexíveis de borracha para uso em instalações de GLP/GN, conforme ABNT NBR 14955.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BB335E">
        <w:rPr>
          <w:rFonts w:ascii="Arial" w:hAnsi="Arial" w:cs="Arial"/>
          <w:bCs/>
          <w:color w:val="000000"/>
        </w:rPr>
        <w:t>Devem ser verificados os limites de pressão e temperatura para esses elementos para interligação,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BB335E">
        <w:rPr>
          <w:rFonts w:ascii="Arial" w:hAnsi="Arial" w:cs="Arial"/>
          <w:bCs/>
          <w:color w:val="000000"/>
        </w:rPr>
        <w:t>quando de sua utilização, assim como a possibilidade de ocorrências acidentais ou incidentais como vazamento de metais líquidos, respingos de escória, contato com superfícies aquecidas e impactos mecânicos. Deve ser instalada válvula de bloqueio a montante de cada elemento de interligação</w:t>
      </w:r>
      <w:r w:rsidRPr="00BB335E">
        <w:rPr>
          <w:rFonts w:ascii="Arial" w:hAnsi="Arial" w:cs="Arial"/>
          <w:sz w:val="27"/>
          <w:szCs w:val="27"/>
        </w:rPr>
        <w:t>.</w:t>
      </w:r>
    </w:p>
    <w:p w:rsidR="00BB335E" w:rsidRPr="00BB335E" w:rsidRDefault="00BB335E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 xml:space="preserve"> VÁLVULAS DE BLOQUEIO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As válvulas de bloqueio utilizadas na rede de distribuição interna devem ser do tipo esfera.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As válvulas metálicas devem ser conforme ABNT NBR 14788.</w:t>
      </w:r>
    </w:p>
    <w:p w:rsidR="00BB335E" w:rsidRDefault="00BB335E" w:rsidP="00BB335E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REGULADORES DE PRESSÃO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reguladores de pressão devem ser selecionados de forma a atender à pressão da rede de distribuição interna onde estão instalados e à potência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adotada prevista para os aparelhos a gás por eles servidos.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reguladores de pressão devem ser conforme ABNT NBR 15590.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Recomenda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-</w:t>
      </w:r>
      <w:r w:rsid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se a instalação de filtros imediatamente a montante dos reguladores de pressão.</w:t>
      </w:r>
    </w:p>
    <w:p w:rsidR="00467131" w:rsidRDefault="00467131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BB335E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MEDIDORES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de vazão utilizados em aplicações industriais podem ser do tipo volumétrico e/ou mássico.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do tipo diafragma utilizados nas instalações internas devem ser conforme ABNT NBR 13127.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lastRenderedPageBreak/>
        <w:t>Os medidores do tipo turbina utilizados nas instalações internas devem ser conforme ABNT NBR ISO 9951 e ABNT NBR 14801.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medidores de gás devem ser compatíveis com a potência adotada para os aparelhos a gás por eles servidos e pressão prevista para o trecho de rede onde são instalados.</w:t>
      </w:r>
    </w:p>
    <w:p w:rsidR="000A293C" w:rsidRP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Recomenda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-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se a instalação de filtro a montante dos medidores.</w:t>
      </w:r>
    </w:p>
    <w:p w:rsidR="00BB335E" w:rsidRDefault="00BB335E" w:rsidP="000A293C">
      <w:pPr>
        <w:rPr>
          <w:rFonts w:ascii="Arial" w:hAnsi="Arial" w:cs="Arial"/>
          <w:sz w:val="30"/>
          <w:szCs w:val="30"/>
        </w:rPr>
      </w:pPr>
    </w:p>
    <w:p w:rsidR="000A293C" w:rsidRDefault="00BB335E" w:rsidP="00A778B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BB335E">
        <w:rPr>
          <w:rFonts w:ascii="Arial" w:hAnsi="Arial" w:cs="Arial"/>
          <w:b/>
          <w:bCs/>
          <w:color w:val="0000FF"/>
        </w:rPr>
        <w:t>MANÔMETROS</w:t>
      </w:r>
    </w:p>
    <w:p w:rsidR="000A293C" w:rsidRDefault="000A293C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0A293C">
        <w:rPr>
          <w:rFonts w:ascii="Arial" w:hAnsi="Arial" w:cs="Arial"/>
          <w:bCs/>
          <w:color w:val="000000"/>
        </w:rPr>
        <w:t>Os manômetros devem ser dimensionados para atuar preferencialmente entre 25% e</w:t>
      </w:r>
      <w:r w:rsidR="00BB335E" w:rsidRPr="00BB335E">
        <w:rPr>
          <w:rFonts w:ascii="Arial" w:hAnsi="Arial" w:cs="Arial"/>
          <w:bCs/>
          <w:color w:val="000000"/>
        </w:rPr>
        <w:t xml:space="preserve"> </w:t>
      </w:r>
      <w:r w:rsidRPr="000A293C">
        <w:rPr>
          <w:rFonts w:ascii="Arial" w:hAnsi="Arial" w:cs="Arial"/>
          <w:bCs/>
          <w:color w:val="000000"/>
        </w:rPr>
        <w:t>75% de seu final de escala, e ser conforme ABNT NBR 8189 e ABNT NBR 14105.</w:t>
      </w:r>
    </w:p>
    <w:p w:rsidR="00467131" w:rsidRDefault="00467131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467131" w:rsidRDefault="00EC263B" w:rsidP="00467131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467131">
        <w:rPr>
          <w:rFonts w:ascii="Arial" w:hAnsi="Arial" w:cs="Arial"/>
          <w:b/>
          <w:bCs/>
          <w:color w:val="0000FF"/>
        </w:rPr>
        <w:t>FILTROS</w:t>
      </w:r>
    </w:p>
    <w:p w:rsidR="00467131" w:rsidRDefault="00467131" w:rsidP="00AC4E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467131">
        <w:rPr>
          <w:rFonts w:ascii="Arial" w:hAnsi="Arial" w:cs="Arial"/>
          <w:bCs/>
          <w:color w:val="000000"/>
        </w:rPr>
        <w:t>Os filtros devem possuir elementos filtrantes substituíveis ou permitir limpeza periódica.</w:t>
      </w:r>
    </w:p>
    <w:p w:rsidR="00AA4419" w:rsidRDefault="00AA441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AA4419" w:rsidRDefault="00AA4419" w:rsidP="00AA441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ABRIGO DE BOTIJÕES</w:t>
      </w:r>
    </w:p>
    <w:p w:rsidR="00AA4419" w:rsidRPr="00E7561E" w:rsidRDefault="00AA441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 xml:space="preserve">É construído em alvenaria, com cobertura em laje, fechado na frente com um portão em tela. </w:t>
      </w:r>
      <w:r w:rsidR="00E7561E" w:rsidRPr="00E7561E">
        <w:rPr>
          <w:rFonts w:ascii="Arial" w:hAnsi="Arial" w:cs="Arial"/>
          <w:b/>
          <w:bCs/>
          <w:color w:val="000000"/>
        </w:rPr>
        <w:t>O detalhamento</w:t>
      </w:r>
      <w:r w:rsidRPr="00E7561E">
        <w:rPr>
          <w:rFonts w:ascii="Arial" w:hAnsi="Arial" w:cs="Arial"/>
          <w:b/>
          <w:bCs/>
          <w:color w:val="000000"/>
        </w:rPr>
        <w:t xml:space="preserve"> </w:t>
      </w:r>
      <w:r w:rsidR="00E7561E" w:rsidRPr="00E7561E">
        <w:rPr>
          <w:rFonts w:ascii="Arial" w:hAnsi="Arial" w:cs="Arial"/>
          <w:b/>
          <w:bCs/>
          <w:color w:val="000000"/>
        </w:rPr>
        <w:t xml:space="preserve">do abrigo de Gás </w:t>
      </w:r>
      <w:r w:rsidRPr="00E7561E">
        <w:rPr>
          <w:rFonts w:ascii="Arial" w:hAnsi="Arial" w:cs="Arial"/>
          <w:b/>
          <w:bCs/>
          <w:color w:val="000000"/>
        </w:rPr>
        <w:t>para execução</w:t>
      </w:r>
      <w:r w:rsidR="00E7561E" w:rsidRPr="00E7561E">
        <w:rPr>
          <w:rFonts w:ascii="Arial" w:hAnsi="Arial" w:cs="Arial"/>
          <w:b/>
          <w:bCs/>
          <w:color w:val="000000"/>
        </w:rPr>
        <w:t xml:space="preserve"> se encontra em projeto de GLP, prancha 01/01.</w:t>
      </w:r>
    </w:p>
    <w:p w:rsidR="00AA4419" w:rsidRDefault="00E7561E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abrigo deve ser localizado no exterior da edificação, em local ventilado, próximo de um acesso, preferencialmente onde não haja transito de alunos. O abrigo também não deve estar perto de locais onde existem fontes de calor.</w:t>
      </w:r>
      <w:r w:rsidRPr="00E7561E">
        <w:rPr>
          <w:rFonts w:ascii="Arial" w:hAnsi="Arial" w:cs="Arial"/>
          <w:b/>
          <w:bCs/>
          <w:color w:val="000000"/>
        </w:rPr>
        <w:t xml:space="preserve"> Os abrigos de gás estão locados de acordo com o projeto de execução de GLP, prancha 01/01.</w:t>
      </w:r>
    </w:p>
    <w:p w:rsidR="00E7561E" w:rsidRDefault="00E7561E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Os acessos ao abrigo devem estar sempre desimpedidos, com os equipamentos contra incêndio (hidrantes/extintores) em </w:t>
      </w:r>
      <w:r w:rsidRPr="00E61887">
        <w:rPr>
          <w:rFonts w:ascii="Arial" w:hAnsi="Arial" w:cs="Arial"/>
          <w:bCs/>
        </w:rPr>
        <w:t xml:space="preserve">funcionamento e com facilidade de acesso e operação. Caso a escola não tenha rede de hidrantes, </w:t>
      </w:r>
      <w:r>
        <w:rPr>
          <w:rFonts w:ascii="Arial" w:hAnsi="Arial" w:cs="Arial"/>
          <w:bCs/>
          <w:color w:val="000000"/>
        </w:rPr>
        <w:t xml:space="preserve">o abrigo deve possuir, em suas proximidades, dois extintores de pó químico </w:t>
      </w:r>
      <w:r w:rsidR="0005703C">
        <w:rPr>
          <w:rFonts w:ascii="Arial" w:hAnsi="Arial" w:cs="Arial"/>
          <w:bCs/>
          <w:color w:val="000000"/>
        </w:rPr>
        <w:t>de 06</w:t>
      </w:r>
      <w:r>
        <w:rPr>
          <w:rFonts w:ascii="Arial" w:hAnsi="Arial" w:cs="Arial"/>
          <w:bCs/>
          <w:color w:val="000000"/>
        </w:rPr>
        <w:t>kg cada um</w:t>
      </w:r>
      <w:r w:rsidR="00E61887">
        <w:rPr>
          <w:rFonts w:ascii="Arial" w:hAnsi="Arial" w:cs="Arial"/>
          <w:bCs/>
          <w:color w:val="000000"/>
        </w:rPr>
        <w:t xml:space="preserve"> conforme a </w:t>
      </w:r>
      <w:r w:rsidR="00B52CA1">
        <w:rPr>
          <w:rFonts w:ascii="Arial" w:hAnsi="Arial" w:cs="Arial"/>
          <w:bCs/>
          <w:color w:val="000000"/>
        </w:rPr>
        <w:t>tabela abaixo</w:t>
      </w:r>
      <w:r>
        <w:rPr>
          <w:rFonts w:ascii="Arial" w:hAnsi="Arial" w:cs="Arial"/>
          <w:bCs/>
          <w:color w:val="000000"/>
        </w:rPr>
        <w:t xml:space="preserve">. </w:t>
      </w:r>
      <w:r w:rsidRPr="00E7561E">
        <w:rPr>
          <w:rFonts w:ascii="Arial" w:hAnsi="Arial" w:cs="Arial"/>
          <w:b/>
          <w:bCs/>
          <w:color w:val="000000"/>
        </w:rPr>
        <w:t>Ver detalhe em projeto.</w:t>
      </w:r>
    </w:p>
    <w:p w:rsidR="00783BE9" w:rsidRDefault="00783BE9" w:rsidP="00AA441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B52CA1" w:rsidRPr="00E61887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highlight w:val="yellow"/>
        </w:rPr>
        <w:drawing>
          <wp:inline distT="0" distB="0" distL="0" distR="0" wp14:anchorId="1A9107FB" wp14:editId="48EBD870">
            <wp:extent cx="2555515" cy="116329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8" cy="121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22BDC7" wp14:editId="45D76F6F">
                <wp:simplePos x="0" y="0"/>
                <wp:positionH relativeFrom="margin">
                  <wp:posOffset>1171096</wp:posOffset>
                </wp:positionH>
                <wp:positionV relativeFrom="paragraph">
                  <wp:posOffset>7129</wp:posOffset>
                </wp:positionV>
                <wp:extent cx="3553460" cy="1404620"/>
                <wp:effectExtent l="0" t="0" r="8890" b="127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E9" w:rsidRDefault="00783BE9" w:rsidP="00783BE9">
                            <w:pPr>
                              <w:jc w:val="center"/>
                            </w:pPr>
                            <w:r>
                              <w:t>Tabela01. Classificação dos Extintores conforme NBR 10 721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2BD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2pt;margin-top:.55pt;width:279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" stroked="f">
                <v:textbox style="mso-fit-shape-to-text:t">
                  <w:txbxContent>
                    <w:p w:rsidR="00783BE9" w:rsidRDefault="00783BE9" w:rsidP="00783BE9">
                      <w:pPr>
                        <w:jc w:val="center"/>
                      </w:pPr>
                      <w:r>
                        <w:t>T</w:t>
                      </w:r>
                      <w:r>
                        <w:t>a</w:t>
                      </w:r>
                      <w:r>
                        <w:t>bela</w:t>
                      </w:r>
                      <w:r>
                        <w:t xml:space="preserve">01. </w:t>
                      </w:r>
                      <w:r>
                        <w:t>Classificação dos Extintores conforme NBR 10 721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3BE9" w:rsidRDefault="00783BE9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561E" w:rsidRPr="00E61887" w:rsidRDefault="00E7561E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EXTINTORES PORTÁTEIS (ABNT NBR 10721 NBR 13523:2008)</w:t>
      </w:r>
    </w:p>
    <w:p w:rsidR="00E7561E" w:rsidRPr="00E61887" w:rsidRDefault="00E7561E" w:rsidP="00E7561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Tipo:   P.Q.S. (Pó químico seco) 12 KG;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E61887">
        <w:rPr>
          <w:rFonts w:ascii="Arial" w:hAnsi="Arial" w:cs="Arial"/>
          <w:bCs/>
        </w:rPr>
        <w:t>Qtde</w:t>
      </w:r>
      <w:proofErr w:type="spellEnd"/>
      <w:r w:rsidRPr="00E61887">
        <w:rPr>
          <w:rFonts w:ascii="Arial" w:hAnsi="Arial" w:cs="Arial"/>
          <w:bCs/>
        </w:rPr>
        <w:t>/cap. extintora: 1/20B;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Capacidade da central:    Até 270 Kg de GÀS LP;</w:t>
      </w:r>
    </w:p>
    <w:p w:rsidR="00E7561E" w:rsidRPr="00E61887" w:rsidRDefault="00E7561E" w:rsidP="00E75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61887">
        <w:rPr>
          <w:rFonts w:ascii="Arial" w:hAnsi="Arial" w:cs="Arial"/>
          <w:bCs/>
        </w:rPr>
        <w:t>Observações: Posicionando próximo a cada central de GÁS LP</w:t>
      </w:r>
    </w:p>
    <w:p w:rsidR="00E7561E" w:rsidRDefault="00E7561E" w:rsidP="00E7561E"/>
    <w:p w:rsidR="00E7561E" w:rsidRPr="00E7561E" w:rsidRDefault="00E7561E" w:rsidP="00E7561E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E7561E">
        <w:rPr>
          <w:rFonts w:ascii="Arial" w:hAnsi="Arial" w:cs="Arial"/>
          <w:bCs/>
          <w:color w:val="000000"/>
        </w:rPr>
        <w:lastRenderedPageBreak/>
        <w:t xml:space="preserve">Os botijões e os dispositivos internos do abrigo não devem ficar em contato com </w:t>
      </w:r>
      <w:r>
        <w:rPr>
          <w:rFonts w:ascii="Arial" w:hAnsi="Arial" w:cs="Arial"/>
          <w:bCs/>
          <w:color w:val="000000"/>
        </w:rPr>
        <w:t>a terra em</w:t>
      </w:r>
      <w:r w:rsidRPr="00E7561E">
        <w:rPr>
          <w:rFonts w:ascii="Arial" w:hAnsi="Arial" w:cs="Arial"/>
          <w:bCs/>
          <w:color w:val="000000"/>
        </w:rPr>
        <w:t xml:space="preserve"> loca</w:t>
      </w:r>
      <w:r>
        <w:rPr>
          <w:rFonts w:ascii="Arial" w:hAnsi="Arial" w:cs="Arial"/>
          <w:bCs/>
          <w:color w:val="000000"/>
        </w:rPr>
        <w:t>l</w:t>
      </w:r>
      <w:r w:rsidRPr="00E7561E">
        <w:rPr>
          <w:rFonts w:ascii="Arial" w:hAnsi="Arial" w:cs="Arial"/>
          <w:bCs/>
          <w:color w:val="000000"/>
        </w:rPr>
        <w:t xml:space="preserve"> onde haja acúmulo de água de qualquer origem.</w:t>
      </w:r>
    </w:p>
    <w:p w:rsidR="00680DD4" w:rsidRDefault="00680DD4" w:rsidP="00680D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680DD4" w:rsidRDefault="00680DD4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FF"/>
        </w:rPr>
      </w:pPr>
      <w:r w:rsidRPr="00AA4419">
        <w:rPr>
          <w:rFonts w:ascii="Arial" w:hAnsi="Arial" w:cs="Arial"/>
          <w:b/>
          <w:bCs/>
          <w:color w:val="0000FF"/>
        </w:rPr>
        <w:t>BOTIJÕES P45</w:t>
      </w:r>
    </w:p>
    <w:p w:rsidR="00AC481D" w:rsidRPr="00AA4419" w:rsidRDefault="00AC481D" w:rsidP="00AC481D">
      <w:pPr>
        <w:pStyle w:val="PargrafodaLista"/>
        <w:autoSpaceDE w:val="0"/>
        <w:autoSpaceDN w:val="0"/>
        <w:adjustRightInd w:val="0"/>
        <w:spacing w:line="360" w:lineRule="auto"/>
        <w:ind w:left="1429"/>
        <w:jc w:val="both"/>
        <w:rPr>
          <w:rFonts w:ascii="Arial" w:hAnsi="Arial" w:cs="Arial"/>
          <w:b/>
          <w:bCs/>
          <w:color w:val="0000FF"/>
        </w:rPr>
      </w:pPr>
    </w:p>
    <w:p w:rsidR="00680DD4" w:rsidRDefault="00B52CA1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D449A5"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572A1F9A" wp14:editId="060B4937">
            <wp:simplePos x="0" y="0"/>
            <wp:positionH relativeFrom="column">
              <wp:posOffset>2093990</wp:posOffset>
            </wp:positionH>
            <wp:positionV relativeFrom="paragraph">
              <wp:posOffset>651354</wp:posOffset>
            </wp:positionV>
            <wp:extent cx="1035050" cy="1456690"/>
            <wp:effectExtent l="0" t="0" r="0" b="0"/>
            <wp:wrapSquare wrapText="bothSides"/>
            <wp:docPr id="4" name="Imagem 4" descr="C:\Users\arotta\Desktop\ght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tta\Desktop\ghth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D4" w:rsidRPr="00697B53">
        <w:rPr>
          <w:rFonts w:ascii="Arial" w:hAnsi="Arial" w:cs="Arial"/>
          <w:bCs/>
          <w:color w:val="000000"/>
        </w:rPr>
        <w:t>Os botijões são responsáveis pelo armazenamento e fornecimento de GLP para consumo. Eles são confeccionados em aço e armazenam GLP em alta pressão. Na fase liquida a pressão interna é de 7 Kg/cm².</w:t>
      </w: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D449A5" w:rsidRDefault="00D449A5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680DD4" w:rsidRDefault="007D2471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83D7B4" wp14:editId="37F6E59D">
                <wp:simplePos x="0" y="0"/>
                <wp:positionH relativeFrom="margin">
                  <wp:posOffset>2014220</wp:posOffset>
                </wp:positionH>
                <wp:positionV relativeFrom="paragraph">
                  <wp:posOffset>219710</wp:posOffset>
                </wp:positionV>
                <wp:extent cx="1362710" cy="1404620"/>
                <wp:effectExtent l="0" t="0" r="8890" b="127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D4" w:rsidRDefault="00680DD4" w:rsidP="00D449A5">
                            <w:pPr>
                              <w:jc w:val="center"/>
                            </w:pPr>
                            <w:r>
                              <w:t>Figura0</w:t>
                            </w:r>
                            <w:r w:rsidR="001C0CFB">
                              <w:t>1</w:t>
                            </w:r>
                            <w:r>
                              <w:t>. Botijão P45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3D7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8.6pt;margin-top:17.3pt;width:107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" stroked="f">
                <v:textbox style="mso-fit-shape-to-text:t">
                  <w:txbxContent>
                    <w:p w:rsidR="00680DD4" w:rsidRDefault="00680DD4" w:rsidP="00D449A5">
                      <w:pPr>
                        <w:jc w:val="center"/>
                      </w:pPr>
                      <w:r>
                        <w:t>Figura0</w:t>
                      </w:r>
                      <w:r w:rsidR="001C0CFB">
                        <w:t>1</w:t>
                      </w:r>
                      <w:r>
                        <w:t>. Botijão P45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0DD4" w:rsidRDefault="00680DD4" w:rsidP="00680DD4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</w:p>
    <w:p w:rsidR="00AC481D" w:rsidRDefault="00AC481D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</w:p>
    <w:p w:rsidR="00BB335E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125BA5">
        <w:rPr>
          <w:rFonts w:ascii="Arial" w:hAnsi="Arial" w:cs="Arial"/>
          <w:b/>
          <w:bCs/>
          <w:i/>
          <w:color w:val="0000FF"/>
          <w:u w:val="single"/>
        </w:rPr>
        <w:t>QUANTO A EXECUÇÃO:</w:t>
      </w:r>
    </w:p>
    <w:p w:rsidR="00125BA5" w:rsidRPr="00D924C5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D924C5" w:rsidRPr="00AC4ED4" w:rsidRDefault="00D924C5" w:rsidP="00AC4ED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C4ED4">
        <w:rPr>
          <w:rFonts w:ascii="Arial" w:hAnsi="Arial" w:cs="Arial"/>
          <w:b/>
          <w:bCs/>
          <w:color w:val="000000"/>
        </w:rPr>
        <w:t>Tubulações enterradas (externas a projeção horizontal da edificação)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enterrada deve manter um afastamento de outras utilidades, tubulações e estruturas de no mínimo 0,30 m, medidos a partir da sua face.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enterrada, quando metálica, deve obedecer ao afastamento mínimo de 5 m de entrada de energia elétrica (12 000 V ou superior) e seus elementos (malhas de terra de para-raios, subestações, postes, estruturas etc.). Na impossibilidade de se atender ao afastamento recomendado, medidas mitigatórias devem ser implantadas para garantir a atenuação da interferência eletromagnética geradas por estas malhas sobre a tubulação de gás.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A tubulação deve ser assentada fora da projeção das edificações, ou seja, nas suas áreas externas, e não podem passar por elementos estruturais.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tubulação não pode utilizar a mesma vala de redes elétricas e/ou telefones.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profundidade da tubulação deve ser de no mínimo 0,60 m a partir da geratriz superior do tubo, em locais sujeitos a tráfego de veículos. 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A profundidade da tubulação em zonas ajardinadas ou sujeitas a escavações deve ser de no mínimo 0,80 m a partir da geratriz superior do tubo.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A profundidade da tubulação deve ser de no mínimo 0,30 m a partir da geratriz superior do tubo, em locais sem tráfego ou sujeitos a tráfego de pessoas. Caso não seja possível atender às profundidades determinadas, deve - se estabelecer um mecanismo de proteção adequado, como: laje ou envelopamento de concreto ao longo do trecho. É recomendável a análise das situações reais da </w:t>
      </w:r>
      <w:r w:rsidRPr="00D924C5">
        <w:rPr>
          <w:rFonts w:ascii="Arial" w:hAnsi="Arial" w:cs="Arial"/>
          <w:bCs/>
          <w:color w:val="000000"/>
        </w:rPr>
        <w:lastRenderedPageBreak/>
        <w:t>rede de distribuição interna enterrada, de forma a estabelecer proteções adequadas, calculadas de acordo com os esforços solicitados em cada caso específico. Sempre que possível, devem ser evitadas profundidades superiores a 1,5 m, nos casos de tubos de polietileno.</w:t>
      </w:r>
    </w:p>
    <w:p w:rsidR="00D924C5" w:rsidRPr="00D924C5" w:rsidRDefault="00D924C5" w:rsidP="00D924C5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 xml:space="preserve">Os tubos de polietileno somente devem ser utilizados em trechos enterrados e externos à projeção horizontal da edificação. As conexões para tubulações enterradas devem ser soldadas, não sendo permitidas uniões </w:t>
      </w:r>
      <w:proofErr w:type="spellStart"/>
      <w:r w:rsidRPr="00D924C5">
        <w:rPr>
          <w:rFonts w:ascii="Arial" w:hAnsi="Arial" w:cs="Arial"/>
          <w:bCs/>
          <w:color w:val="000000"/>
        </w:rPr>
        <w:t>flangeadas</w:t>
      </w:r>
      <w:proofErr w:type="spellEnd"/>
      <w:r w:rsidRPr="00D924C5">
        <w:rPr>
          <w:rFonts w:ascii="Arial" w:hAnsi="Arial" w:cs="Arial"/>
          <w:bCs/>
          <w:color w:val="000000"/>
        </w:rPr>
        <w:t xml:space="preserve"> ou conexões roscadas. </w:t>
      </w:r>
    </w:p>
    <w:p w:rsidR="00D924C5" w:rsidRDefault="00D924C5" w:rsidP="00D924C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D924C5">
        <w:rPr>
          <w:rFonts w:ascii="Arial" w:hAnsi="Arial" w:cs="Arial"/>
          <w:bCs/>
          <w:color w:val="000000"/>
        </w:rPr>
        <w:t>Para os trechos de tubulação enterrada deve - se realizar um ensaio de estanqueidade prévio ao preenchimento da vala. As valas para colocação de tubos devem ter seção retangular, a menos que a consistência do terreno não a permita. A largura da vala deve ser a menor possível, bastando acrescentar 30 cm ao diâmetro externo dos tubos</w:t>
      </w:r>
    </w:p>
    <w:p w:rsidR="00AC4ED4" w:rsidRDefault="00AC4ED4" w:rsidP="00AC4ED4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AC4ED4" w:rsidRPr="00AC4ED4" w:rsidRDefault="00AC4ED4" w:rsidP="00AC4ED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C4ED4">
        <w:rPr>
          <w:rFonts w:ascii="Arial" w:hAnsi="Arial" w:cs="Arial"/>
          <w:b/>
          <w:bCs/>
          <w:color w:val="000000"/>
        </w:rPr>
        <w:t>Válvulas de bloqueio manual</w:t>
      </w:r>
    </w:p>
    <w:p w:rsidR="00AC4ED4" w:rsidRDefault="00AC4ED4" w:rsidP="00AC4E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A rede de distribuição interna deve possuir válvulas de bloqueio manual que permitam a interrupção do suprimento do gás combustível: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Na entrada da rede de distribuição (imediatamente a jusante da central de GLP ou CRM);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>Para cada edificação;</w:t>
      </w:r>
    </w:p>
    <w:p w:rsidR="00AC4ED4" w:rsidRPr="00AC4ED4" w:rsidRDefault="00AC4ED4" w:rsidP="00AC4ED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 xml:space="preserve">Para cada ponto de consumo. </w:t>
      </w:r>
    </w:p>
    <w:p w:rsidR="00697B53" w:rsidRDefault="00AC4ED4" w:rsidP="00697B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AC4ED4">
        <w:rPr>
          <w:rFonts w:ascii="Arial" w:hAnsi="Arial" w:cs="Arial"/>
          <w:bCs/>
          <w:color w:val="000000"/>
        </w:rPr>
        <w:t xml:space="preserve">As válvulas devem ser identificadas e instaladas em local de fácil acesso, </w:t>
      </w:r>
      <w:r>
        <w:rPr>
          <w:rFonts w:ascii="Arial" w:hAnsi="Arial" w:cs="Arial"/>
          <w:bCs/>
          <w:color w:val="000000"/>
        </w:rPr>
        <w:t>p</w:t>
      </w:r>
      <w:r w:rsidRPr="00AC4ED4">
        <w:rPr>
          <w:rFonts w:ascii="Arial" w:hAnsi="Arial" w:cs="Arial"/>
          <w:bCs/>
          <w:color w:val="000000"/>
        </w:rPr>
        <w:t>rotegidas de forma a se evitar acionamento acidental.</w:t>
      </w:r>
    </w:p>
    <w:p w:rsidR="00AA4419" w:rsidRDefault="00AA4419" w:rsidP="00697B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125BA5" w:rsidRPr="00125BA5" w:rsidRDefault="00A778BF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>
        <w:rPr>
          <w:rFonts w:ascii="Arial" w:hAnsi="Arial" w:cs="Arial"/>
          <w:b/>
          <w:bCs/>
          <w:i/>
          <w:color w:val="0000FF"/>
          <w:u w:val="single"/>
        </w:rPr>
        <w:t>QUANTO A IDENTIFICAÇÃO:</w:t>
      </w:r>
    </w:p>
    <w:p w:rsidR="00125BA5" w:rsidRPr="000A293C" w:rsidRDefault="00125BA5" w:rsidP="00BB33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00000"/>
        </w:rPr>
      </w:pPr>
    </w:p>
    <w:p w:rsidR="009C6F1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  IDENTIFICAÇÃO REDE </w:t>
      </w:r>
      <w:r w:rsidR="00A778BF">
        <w:rPr>
          <w:rFonts w:ascii="Arial" w:hAnsi="Arial" w:cs="Arial"/>
          <w:bCs/>
          <w:color w:val="0000FF"/>
        </w:rPr>
        <w:t xml:space="preserve">DE DISTRIBUIÇÃO </w:t>
      </w:r>
      <w:r w:rsidRPr="00125BA5">
        <w:rPr>
          <w:rFonts w:ascii="Arial" w:hAnsi="Arial" w:cs="Arial"/>
          <w:bCs/>
          <w:color w:val="0000FF"/>
        </w:rPr>
        <w:t>ENTERRADA</w:t>
      </w:r>
    </w:p>
    <w:p w:rsidR="009C6F15" w:rsidRDefault="0005703C" w:rsidP="00783B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11D89279" wp14:editId="3C77D65E">
            <wp:simplePos x="0" y="0"/>
            <wp:positionH relativeFrom="column">
              <wp:posOffset>1852295</wp:posOffset>
            </wp:positionH>
            <wp:positionV relativeFrom="paragraph">
              <wp:posOffset>519059</wp:posOffset>
            </wp:positionV>
            <wp:extent cx="1463040" cy="640080"/>
            <wp:effectExtent l="0" t="0" r="3810" b="762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F15" w:rsidRPr="00C61768">
        <w:rPr>
          <w:rFonts w:ascii="Arial" w:hAnsi="Arial" w:cs="Arial"/>
          <w:bCs/>
          <w:color w:val="000000"/>
        </w:rPr>
        <w:t xml:space="preserve">A rede de distribuição interna </w:t>
      </w:r>
      <w:r w:rsidR="00A778BF">
        <w:rPr>
          <w:rFonts w:ascii="Arial" w:hAnsi="Arial" w:cs="Arial"/>
          <w:bCs/>
          <w:color w:val="000000"/>
        </w:rPr>
        <w:t xml:space="preserve">enterrada </w:t>
      </w:r>
      <w:r w:rsidR="009C6F15" w:rsidRPr="00C61768">
        <w:rPr>
          <w:rFonts w:ascii="Arial" w:hAnsi="Arial" w:cs="Arial"/>
          <w:bCs/>
          <w:color w:val="000000"/>
        </w:rPr>
        <w:t>deve ser identificada através da colocação de fita plástica de advertência a 0,20m da geratriz superior do tubo e por toda a sua extensão, como segue:</w:t>
      </w: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697B53" w:rsidRDefault="007D2471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99F6B" wp14:editId="1D157DDA">
                <wp:simplePos x="0" y="0"/>
                <wp:positionH relativeFrom="margin">
                  <wp:posOffset>1438227</wp:posOffset>
                </wp:positionH>
                <wp:positionV relativeFrom="paragraph">
                  <wp:posOffset>30217</wp:posOffset>
                </wp:positionV>
                <wp:extent cx="236347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338" w:rsidRDefault="00697B53">
                            <w:r>
                              <w:t>Figura0</w:t>
                            </w:r>
                            <w:r w:rsidR="00AA4419">
                              <w:t>2</w:t>
                            </w:r>
                            <w:r>
                              <w:t>. Modelo de Fita de Sinalização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99F6B" id="_x0000_s1028" type="#_x0000_t202" style="position:absolute;left:0;text-align:left;margin-left:113.25pt;margin-top:2.4pt;width:18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" stroked="f">
                <v:textbox style="mso-fit-shape-to-text:t">
                  <w:txbxContent>
                    <w:p w:rsidR="00CF2338" w:rsidRDefault="00697B53">
                      <w:r>
                        <w:t>Figura0</w:t>
                      </w:r>
                      <w:r w:rsidR="00AA4419">
                        <w:t>2</w:t>
                      </w:r>
                      <w:r>
                        <w:t>. Modelo de Fita de Sinalização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53" w:rsidRDefault="00697B53" w:rsidP="002E7E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Tubulação enterrada em área não pavimentada, (jardins, outros): fita de sinalização enterrada, colocada acima da tubulação, ou placas de concreto com identificação;</w:t>
      </w:r>
    </w:p>
    <w:p w:rsidR="009C6F15" w:rsidRPr="00C61768" w:rsidRDefault="009C6F15" w:rsidP="009C6F15">
      <w:pPr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C61768">
        <w:rPr>
          <w:rFonts w:ascii="Arial" w:hAnsi="Arial" w:cs="Arial"/>
          <w:bCs/>
          <w:color w:val="000000"/>
        </w:rPr>
        <w:t>Tubulação enterrada em área pavimentada (calçadas, pátios, outros):</w:t>
      </w:r>
      <w:r w:rsidR="00A778BF">
        <w:rPr>
          <w:rFonts w:ascii="Arial" w:hAnsi="Arial" w:cs="Arial"/>
          <w:bCs/>
          <w:color w:val="000000"/>
        </w:rPr>
        <w:t xml:space="preserve"> </w:t>
      </w:r>
      <w:r w:rsidRPr="00A778BF">
        <w:rPr>
          <w:rFonts w:ascii="Arial" w:hAnsi="Arial" w:cs="Arial"/>
          <w:bCs/>
          <w:color w:val="000000"/>
        </w:rPr>
        <w:t>Fita de sinalização enterrada, colocada acima da tubulação, ou placas de concreto com</w:t>
      </w:r>
      <w:r w:rsidR="00125BA5" w:rsidRPr="00A778BF">
        <w:rPr>
          <w:rFonts w:ascii="Arial" w:hAnsi="Arial" w:cs="Arial"/>
          <w:bCs/>
          <w:color w:val="000000"/>
        </w:rPr>
        <w:t xml:space="preserve"> </w:t>
      </w:r>
      <w:r w:rsidRPr="00A778BF">
        <w:rPr>
          <w:rFonts w:ascii="Arial" w:hAnsi="Arial" w:cs="Arial"/>
          <w:bCs/>
          <w:color w:val="000000"/>
        </w:rPr>
        <w:t xml:space="preserve">identificação; </w:t>
      </w:r>
    </w:p>
    <w:p w:rsidR="009C6F15" w:rsidRPr="00C61768" w:rsidRDefault="009C6F15" w:rsidP="00A778BF">
      <w:pPr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/>
        </w:rPr>
      </w:pPr>
    </w:p>
    <w:p w:rsidR="00A778BF" w:rsidRDefault="009C6F15" w:rsidP="00A778B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Tubulação enterrada em arruamento (ruas definidas, onde trafegam veículos): fita de sinalização enterrada, colocada acima da tubulação. E identificação de superfície (tachão, placa de sinalização, outros).</w:t>
      </w:r>
    </w:p>
    <w:p w:rsidR="00A778BF" w:rsidRPr="00A778BF" w:rsidRDefault="00A778BF" w:rsidP="00A778BF">
      <w:pPr>
        <w:pStyle w:val="PargrafodaLista"/>
        <w:rPr>
          <w:rFonts w:ascii="Arial" w:hAnsi="Arial" w:cs="Arial"/>
          <w:bCs/>
          <w:color w:val="000000"/>
        </w:rPr>
      </w:pPr>
    </w:p>
    <w:p w:rsidR="009C6F15" w:rsidRPr="00A778BF" w:rsidRDefault="009C6F15" w:rsidP="00A778BF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O GÁS LP estará na fase gasosa durante toda a linha de distribuição.</w:t>
      </w:r>
    </w:p>
    <w:p w:rsidR="009C6F15" w:rsidRPr="00C61768" w:rsidRDefault="009C6F15" w:rsidP="009C6F1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color w:val="000000"/>
        </w:rPr>
      </w:pPr>
    </w:p>
    <w:p w:rsidR="009C6F15" w:rsidRPr="00125BA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IDENTIFICAÇÃO REDE </w:t>
      </w:r>
      <w:r w:rsidR="00A778BF">
        <w:rPr>
          <w:rFonts w:ascii="Arial" w:hAnsi="Arial" w:cs="Arial"/>
          <w:bCs/>
          <w:color w:val="0000FF"/>
        </w:rPr>
        <w:t xml:space="preserve">DE DISTRIBUIÇÃO </w:t>
      </w:r>
      <w:r w:rsidRPr="00125BA5">
        <w:rPr>
          <w:rFonts w:ascii="Arial" w:hAnsi="Arial" w:cs="Arial"/>
          <w:bCs/>
          <w:color w:val="0000FF"/>
        </w:rPr>
        <w:t>APARENTE</w:t>
      </w:r>
    </w:p>
    <w:p w:rsidR="009C6F15" w:rsidRPr="00C61768" w:rsidRDefault="009C6F15" w:rsidP="009C6F1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Default="009C6F15" w:rsidP="009C6F15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C61768">
        <w:rPr>
          <w:rFonts w:ascii="Arial" w:hAnsi="Arial" w:cs="Arial"/>
          <w:bCs/>
          <w:color w:val="000000"/>
        </w:rPr>
        <w:t>Toda a tubulação que se encontrar aparente deverá ser pintada na cor amarelo</w:t>
      </w:r>
      <w:r w:rsidR="00A778BF">
        <w:rPr>
          <w:rFonts w:ascii="Arial" w:hAnsi="Arial" w:cs="Arial"/>
          <w:bCs/>
          <w:color w:val="000000"/>
        </w:rPr>
        <w:t xml:space="preserve"> </w:t>
      </w:r>
      <w:r w:rsidR="00A778BF" w:rsidRPr="00A778BF">
        <w:rPr>
          <w:rFonts w:ascii="Arial" w:hAnsi="Arial" w:cs="Arial"/>
          <w:bCs/>
          <w:color w:val="000000"/>
        </w:rPr>
        <w:t xml:space="preserve">(código 5Y8/12 do código </w:t>
      </w:r>
      <w:proofErr w:type="spellStart"/>
      <w:r w:rsidR="00A778BF" w:rsidRPr="00A778BF">
        <w:rPr>
          <w:rFonts w:ascii="Arial" w:hAnsi="Arial" w:cs="Arial"/>
          <w:bCs/>
          <w:color w:val="000000"/>
        </w:rPr>
        <w:t>Munsel</w:t>
      </w:r>
      <w:proofErr w:type="spellEnd"/>
      <w:r w:rsidR="00A778BF" w:rsidRPr="00A778BF">
        <w:rPr>
          <w:rFonts w:ascii="Arial" w:hAnsi="Arial" w:cs="Arial"/>
          <w:bCs/>
          <w:color w:val="000000"/>
        </w:rPr>
        <w:t xml:space="preserve"> ou 110 </w:t>
      </w:r>
      <w:proofErr w:type="spellStart"/>
      <w:r w:rsidR="00A778BF" w:rsidRPr="00A778BF">
        <w:rPr>
          <w:rFonts w:ascii="Arial" w:hAnsi="Arial" w:cs="Arial"/>
          <w:bCs/>
          <w:color w:val="000000"/>
        </w:rPr>
        <w:t>Pantone</w:t>
      </w:r>
      <w:proofErr w:type="spellEnd"/>
      <w:r w:rsidR="00697B53">
        <w:rPr>
          <w:rFonts w:ascii="Arial" w:hAnsi="Arial" w:cs="Arial"/>
          <w:bCs/>
          <w:color w:val="000000"/>
        </w:rPr>
        <w:t>)</w:t>
      </w:r>
      <w:r w:rsidRPr="00C61768">
        <w:rPr>
          <w:rFonts w:ascii="Arial" w:hAnsi="Arial" w:cs="Arial"/>
          <w:bCs/>
          <w:color w:val="000000"/>
        </w:rPr>
        <w:t>.</w:t>
      </w:r>
    </w:p>
    <w:p w:rsidR="00A778BF" w:rsidRPr="00A778BF" w:rsidRDefault="00A778BF" w:rsidP="00A778BF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A rede de distribuição interna aparente pode ser pintada com outra cor e, neste caso, a tubulação deve ser identificada com a palavra “GAS” no máximo a cada 10 metros, ou em cada trecho aparente, o que primeiro ocorrer.</w:t>
      </w:r>
    </w:p>
    <w:p w:rsidR="009C6F15" w:rsidRPr="00F01CF9" w:rsidRDefault="009C6F15" w:rsidP="009C6F15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F01CF9">
        <w:rPr>
          <w:rFonts w:ascii="Arial" w:hAnsi="Arial" w:cs="Arial"/>
          <w:bCs/>
        </w:rPr>
        <w:t>A tubulação que “aflora” nos pontos de consumo deverá ser protegida contra impactos mecânicos, a fim de evitar acidentes com a rede de GLP.</w:t>
      </w:r>
    </w:p>
    <w:p w:rsidR="00A778BF" w:rsidRPr="00A778BF" w:rsidRDefault="00A778BF" w:rsidP="00A778BF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  <w:color w:val="000000"/>
        </w:rPr>
      </w:pPr>
      <w:r w:rsidRPr="00A778BF">
        <w:rPr>
          <w:rFonts w:ascii="Arial" w:hAnsi="Arial" w:cs="Arial"/>
          <w:bCs/>
          <w:color w:val="000000"/>
        </w:rPr>
        <w:t>Válvulas, reguladores e demais acessórios podem estar na sua cor natural ou na mesma cor da tubulação.</w:t>
      </w:r>
    </w:p>
    <w:p w:rsidR="009C6F15" w:rsidRDefault="009C6F15" w:rsidP="009C6F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Pr="00125BA5" w:rsidRDefault="009C6F15" w:rsidP="00680DD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FF"/>
        </w:rPr>
      </w:pPr>
      <w:r w:rsidRPr="00125BA5">
        <w:rPr>
          <w:rFonts w:ascii="Arial" w:hAnsi="Arial" w:cs="Arial"/>
          <w:bCs/>
          <w:color w:val="0000FF"/>
        </w:rPr>
        <w:t xml:space="preserve">REGISTROS E VÁLVULAS </w:t>
      </w:r>
    </w:p>
    <w:p w:rsidR="009C6F15" w:rsidRPr="00C61768" w:rsidRDefault="009C6F15" w:rsidP="009C6F15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9C6F15" w:rsidRPr="00B52CA1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52CA1">
        <w:rPr>
          <w:rFonts w:ascii="Arial" w:hAnsi="Arial" w:cs="Arial"/>
          <w:bCs/>
        </w:rPr>
        <w:t>Na Central GLP deverá ser instalada uma válvula</w:t>
      </w:r>
      <w:r w:rsidR="00B52CA1">
        <w:rPr>
          <w:rFonts w:ascii="Arial" w:hAnsi="Arial" w:cs="Arial"/>
          <w:bCs/>
        </w:rPr>
        <w:t xml:space="preserve"> de bloqueio automático seguido da válvula de pressão de 1º estágio para diminuir a pressão de saída, manômetro. Após a instalação do “T” em cada lado será instalado um conjunto de válvula d</w:t>
      </w:r>
      <w:r w:rsidRPr="00B52CA1">
        <w:rPr>
          <w:rFonts w:ascii="Arial" w:hAnsi="Arial" w:cs="Arial"/>
          <w:bCs/>
        </w:rPr>
        <w:t>e esfera,</w:t>
      </w:r>
      <w:r w:rsidR="00B52CA1">
        <w:rPr>
          <w:rFonts w:ascii="Arial" w:hAnsi="Arial" w:cs="Arial"/>
          <w:bCs/>
        </w:rPr>
        <w:t xml:space="preserve"> meia luva</w:t>
      </w:r>
      <w:r w:rsidRPr="00B52CA1">
        <w:rPr>
          <w:rFonts w:ascii="Arial" w:hAnsi="Arial" w:cs="Arial"/>
          <w:bCs/>
        </w:rPr>
        <w:t xml:space="preserve"> de diâmetro </w:t>
      </w:r>
      <w:r w:rsidR="00B52CA1" w:rsidRPr="00B52CA1">
        <w:rPr>
          <w:rFonts w:ascii="Arial" w:hAnsi="Arial" w:cs="Arial"/>
          <w:bCs/>
        </w:rPr>
        <w:t>3</w:t>
      </w:r>
      <w:r w:rsidRPr="00B52CA1">
        <w:rPr>
          <w:rFonts w:ascii="Arial" w:hAnsi="Arial" w:cs="Arial"/>
          <w:bCs/>
        </w:rPr>
        <w:t>/</w:t>
      </w:r>
      <w:r w:rsidR="00B52CA1" w:rsidRPr="00B52CA1">
        <w:rPr>
          <w:rFonts w:ascii="Arial" w:hAnsi="Arial" w:cs="Arial"/>
          <w:bCs/>
        </w:rPr>
        <w:t>4</w:t>
      </w:r>
      <w:r w:rsidRPr="00B52CA1">
        <w:rPr>
          <w:rFonts w:ascii="Arial" w:hAnsi="Arial" w:cs="Arial"/>
          <w:bCs/>
        </w:rPr>
        <w:t>”</w:t>
      </w:r>
      <w:r w:rsidR="00B52CA1">
        <w:rPr>
          <w:rFonts w:ascii="Arial" w:hAnsi="Arial" w:cs="Arial"/>
          <w:bCs/>
        </w:rPr>
        <w:t xml:space="preserve">, tampão e </w:t>
      </w:r>
      <w:proofErr w:type="spellStart"/>
      <w:r w:rsidR="00B52CA1">
        <w:rPr>
          <w:rFonts w:ascii="Arial" w:hAnsi="Arial" w:cs="Arial"/>
          <w:bCs/>
        </w:rPr>
        <w:t>pigtal</w:t>
      </w:r>
      <w:proofErr w:type="spellEnd"/>
      <w:r w:rsidR="00B52CA1">
        <w:rPr>
          <w:rFonts w:ascii="Arial" w:hAnsi="Arial" w:cs="Arial"/>
          <w:bCs/>
        </w:rPr>
        <w:t xml:space="preserve"> (mangueira apropriada para uso de GLP).</w:t>
      </w:r>
    </w:p>
    <w:p w:rsidR="009C6F15" w:rsidRPr="00B52CA1" w:rsidRDefault="009C6F15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B52CA1">
        <w:rPr>
          <w:rFonts w:ascii="Arial" w:hAnsi="Arial" w:cs="Arial"/>
          <w:bCs/>
        </w:rPr>
        <w:t xml:space="preserve">No ponto de consumo deverão ser instalados uma válvula de esfera para fechamento e abertura do abastecimento, após </w:t>
      </w:r>
      <w:r w:rsidR="00467131" w:rsidRPr="00B52CA1">
        <w:rPr>
          <w:rFonts w:ascii="Arial" w:hAnsi="Arial" w:cs="Arial"/>
          <w:bCs/>
        </w:rPr>
        <w:t>deverá</w:t>
      </w:r>
      <w:r w:rsidRPr="00B52CA1">
        <w:rPr>
          <w:rFonts w:ascii="Arial" w:hAnsi="Arial" w:cs="Arial"/>
          <w:bCs/>
        </w:rPr>
        <w:t xml:space="preserve"> ser instalado um regulador de pressão de 2º estágio, afim de reduzir a pressão no ponto de consumo para a pressão usual, também deverá ser instalado uma válvula de bloqueio por sobre pressão para maior segurança.</w:t>
      </w:r>
    </w:p>
    <w:p w:rsidR="00697B53" w:rsidRPr="00697B53" w:rsidRDefault="00697B53" w:rsidP="009C6F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FF"/>
        </w:rPr>
      </w:pPr>
    </w:p>
    <w:p w:rsidR="00804371" w:rsidRPr="00F0660C" w:rsidRDefault="00804371" w:rsidP="00F0660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0000FF"/>
          <w:u w:val="single"/>
        </w:rPr>
      </w:pPr>
      <w:r w:rsidRPr="00F0660C">
        <w:rPr>
          <w:rFonts w:ascii="Arial" w:hAnsi="Arial" w:cs="Arial"/>
          <w:b/>
          <w:bCs/>
          <w:i/>
          <w:color w:val="0000FF"/>
          <w:u w:val="single"/>
        </w:rPr>
        <w:t>CONSIDERAÇÕES GERAIS</w:t>
      </w:r>
    </w:p>
    <w:p w:rsidR="00804371" w:rsidRDefault="00804371"/>
    <w:p w:rsidR="009E5B40" w:rsidRPr="00D11B1C" w:rsidRDefault="009E5B40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9E5B40" w:rsidRPr="00D11B1C" w:rsidRDefault="00D11B1C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D11B1C">
        <w:rPr>
          <w:rFonts w:ascii="Arial" w:hAnsi="Arial" w:cs="Arial"/>
          <w:b/>
          <w:bCs/>
        </w:rPr>
        <w:t>REDE PRIMARIA E REDE SECUNDARIA</w:t>
      </w:r>
    </w:p>
    <w:p w:rsidR="00BE0956" w:rsidRDefault="00BE0956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BE0956">
        <w:rPr>
          <w:rFonts w:ascii="Arial" w:hAnsi="Arial" w:cs="Arial"/>
          <w:bCs/>
        </w:rPr>
        <w:t xml:space="preserve">A rede primaria (150 kPa – alta pressão) é o conjunto </w:t>
      </w:r>
      <w:r>
        <w:rPr>
          <w:rFonts w:ascii="Arial" w:hAnsi="Arial" w:cs="Arial"/>
          <w:bCs/>
        </w:rPr>
        <w:t xml:space="preserve">de tubos, conexões e equipamentos compreendidos entre o regulador de primeiro estágio (inclusive regulador) e o regulador de sendo estagio (exclusive). A pressão existente nesta rede não é compatível com nenhum equipamento de consumo, portanto nada deve ser ligado diretamente nela. </w:t>
      </w:r>
    </w:p>
    <w:p w:rsidR="00BE0956" w:rsidRDefault="007D2471" w:rsidP="00BE0956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Cs/>
        </w:rPr>
      </w:pPr>
      <w:r w:rsidRPr="00697B53">
        <w:rPr>
          <w:rFonts w:ascii="Arial" w:hAnsi="Arial" w:cs="Arial"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AE774D" wp14:editId="51238D34">
                <wp:simplePos x="0" y="0"/>
                <wp:positionH relativeFrom="margin">
                  <wp:posOffset>1360805</wp:posOffset>
                </wp:positionH>
                <wp:positionV relativeFrom="paragraph">
                  <wp:posOffset>3093720</wp:posOffset>
                </wp:positionV>
                <wp:extent cx="2794635" cy="1404620"/>
                <wp:effectExtent l="0" t="0" r="5715" b="127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71" w:rsidRDefault="007D2471" w:rsidP="007D2471">
                            <w:r>
                              <w:t>Figura0</w:t>
                            </w:r>
                            <w:r>
                              <w:t>3</w:t>
                            </w:r>
                            <w:r>
                              <w:t xml:space="preserve">. </w:t>
                            </w:r>
                            <w:r>
                              <w:t>Tubulação (rede secundária) cozinha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E774D" id="_x0000_s1029" type="#_x0000_t202" style="position:absolute;left:0;text-align:left;margin-left:107.15pt;margin-top:243.6pt;width:220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" stroked="f">
                <v:textbox style="mso-fit-shape-to-text:t">
                  <w:txbxContent>
                    <w:p w:rsidR="007D2471" w:rsidRDefault="007D2471" w:rsidP="007D2471">
                      <w:r>
                        <w:t>Figura0</w:t>
                      </w:r>
                      <w:r>
                        <w:t>3</w:t>
                      </w:r>
                      <w:r>
                        <w:t xml:space="preserve">. </w:t>
                      </w:r>
                      <w:r>
                        <w:t>Tubulação (rede secundária) cozinha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F57" w:rsidRPr="003F144D">
        <w:rPr>
          <w:noProof/>
        </w:rPr>
        <w:drawing>
          <wp:anchor distT="0" distB="0" distL="114300" distR="114300" simplePos="0" relativeHeight="251658240" behindDoc="0" locked="0" layoutInCell="1" allowOverlap="1" wp14:anchorId="66152987" wp14:editId="54E6FF47">
            <wp:simplePos x="0" y="0"/>
            <wp:positionH relativeFrom="column">
              <wp:posOffset>-412486</wp:posOffset>
            </wp:positionH>
            <wp:positionV relativeFrom="paragraph">
              <wp:posOffset>447675</wp:posOffset>
            </wp:positionV>
            <wp:extent cx="6483350" cy="2809875"/>
            <wp:effectExtent l="0" t="0" r="0" b="9525"/>
            <wp:wrapSquare wrapText="bothSides"/>
            <wp:docPr id="2" name="Imagem 2" descr="C:\Users\arotta\Desktop\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otta\Desktop\g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956">
        <w:rPr>
          <w:rFonts w:ascii="Arial" w:hAnsi="Arial" w:cs="Arial"/>
          <w:bCs/>
        </w:rPr>
        <w:t>A rede secundaria (2,8 kPa – baixa pressão) é a rede compreendida entre o regulador de segundo estágio (inclusive) e o ponto de consumo (fogão). Observe a ilustração abaixo:</w:t>
      </w:r>
    </w:p>
    <w:p w:rsidR="00783BE9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7F9FE5BD" wp14:editId="343D7627">
            <wp:simplePos x="0" y="0"/>
            <wp:positionH relativeFrom="margin">
              <wp:posOffset>94327</wp:posOffset>
            </wp:positionH>
            <wp:positionV relativeFrom="paragraph">
              <wp:posOffset>3039434</wp:posOffset>
            </wp:positionV>
            <wp:extent cx="5391785" cy="2130425"/>
            <wp:effectExtent l="0" t="0" r="0" b="317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897DB23" wp14:editId="24BEB857">
            <wp:simplePos x="0" y="0"/>
            <wp:positionH relativeFrom="margin">
              <wp:align>center</wp:align>
            </wp:positionH>
            <wp:positionV relativeFrom="paragraph">
              <wp:posOffset>6218</wp:posOffset>
            </wp:positionV>
            <wp:extent cx="2872105" cy="2490470"/>
            <wp:effectExtent l="0" t="0" r="4445" b="508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697B53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ABA7E1" wp14:editId="3C54146B">
                <wp:simplePos x="0" y="0"/>
                <wp:positionH relativeFrom="margin">
                  <wp:posOffset>1084580</wp:posOffset>
                </wp:positionH>
                <wp:positionV relativeFrom="paragraph">
                  <wp:posOffset>205369</wp:posOffset>
                </wp:positionV>
                <wp:extent cx="3010535" cy="1404620"/>
                <wp:effectExtent l="0" t="0" r="0" b="127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71" w:rsidRDefault="007D2471" w:rsidP="007D2471">
                            <w:r>
                              <w:t>Figura0</w:t>
                            </w:r>
                            <w:r>
                              <w:t>4</w:t>
                            </w:r>
                            <w:r>
                              <w:t xml:space="preserve">. Tubulação (rede secundária) </w:t>
                            </w:r>
                            <w:r>
                              <w:t>laboratórios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BA7E1" id="_x0000_s1030" type="#_x0000_t202" style="position:absolute;left:0;text-align:left;margin-left:85.4pt;margin-top:16.15pt;width:237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" stroked="f">
                <v:textbox style="mso-fit-shape-to-text:t">
                  <w:txbxContent>
                    <w:p w:rsidR="007D2471" w:rsidRDefault="007D2471" w:rsidP="007D2471">
                      <w:r>
                        <w:t>Figura0</w:t>
                      </w:r>
                      <w:r>
                        <w:t>4</w:t>
                      </w:r>
                      <w:r>
                        <w:t xml:space="preserve">. Tubulação (rede secundária) </w:t>
                      </w:r>
                      <w:r>
                        <w:t>laboratórios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7D2471" w:rsidRDefault="007D2471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3F144D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 w:rsidRPr="00783BE9">
        <w:rPr>
          <w:rFonts w:ascii="Arial" w:hAnsi="Arial" w:cs="Arial"/>
          <w:b/>
          <w:bCs/>
        </w:rPr>
        <w:lastRenderedPageBreak/>
        <w:t>SINALIZAÇÃO ABRIGO DE GÁS</w:t>
      </w:r>
    </w:p>
    <w:p w:rsidR="00666F57" w:rsidRPr="003F45D5" w:rsidRDefault="00666F57" w:rsidP="00666F57">
      <w:pPr>
        <w:spacing w:line="360" w:lineRule="auto"/>
        <w:ind w:firstLine="709"/>
        <w:jc w:val="both"/>
        <w:rPr>
          <w:rFonts w:ascii="Arial" w:hAnsi="Arial" w:cs="Arial"/>
        </w:rPr>
      </w:pPr>
      <w:r w:rsidRPr="003F45D5">
        <w:rPr>
          <w:rFonts w:ascii="Arial" w:hAnsi="Arial" w:cs="Arial"/>
        </w:rPr>
        <w:t xml:space="preserve">Segundo as especificações do Corpo de Bombeiros, o uso de sinalização é obrigatório em todas as edificações, conforme o caso, bem como a pintura de tubos e conexões na cor </w:t>
      </w:r>
      <w:r w:rsidRPr="0005703C">
        <w:rPr>
          <w:rFonts w:ascii="Arial" w:hAnsi="Arial" w:cs="Arial"/>
          <w:b/>
        </w:rPr>
        <w:t>amarela,</w:t>
      </w:r>
      <w:r w:rsidRPr="003F45D5">
        <w:rPr>
          <w:rFonts w:ascii="Arial" w:hAnsi="Arial" w:cs="Arial"/>
        </w:rPr>
        <w:t xml:space="preserve"> que facilitem a perfeita identificação dos componentes do sistema de </w:t>
      </w:r>
      <w:r>
        <w:rPr>
          <w:rFonts w:ascii="Arial" w:hAnsi="Arial" w:cs="Arial"/>
        </w:rPr>
        <w:t>gás</w:t>
      </w:r>
      <w:r w:rsidRPr="003F45D5">
        <w:rPr>
          <w:rFonts w:ascii="Arial" w:hAnsi="Arial" w:cs="Arial"/>
        </w:rPr>
        <w:t>.</w:t>
      </w:r>
    </w:p>
    <w:p w:rsidR="00666F57" w:rsidRPr="003F45D5" w:rsidRDefault="00666F57" w:rsidP="00666F57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3F45D5">
        <w:rPr>
          <w:rFonts w:ascii="Arial" w:hAnsi="Arial" w:cs="Arial"/>
          <w:sz w:val="20"/>
        </w:rPr>
        <w:t>Assim, o projeto prevê o emprego de sinalização para identificar: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3F45D5">
        <w:rPr>
          <w:rFonts w:ascii="Arial" w:hAnsi="Arial" w:cs="Arial"/>
        </w:rPr>
        <w:t>Extinto</w:t>
      </w:r>
      <w:r>
        <w:rPr>
          <w:rFonts w:ascii="Arial" w:hAnsi="Arial" w:cs="Arial"/>
        </w:rPr>
        <w:t>res pó químico seco</w:t>
      </w:r>
      <w:r w:rsidRPr="003F45D5">
        <w:rPr>
          <w:rFonts w:ascii="Arial" w:hAnsi="Arial" w:cs="Arial"/>
        </w:rPr>
        <w:t>;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Placa de sinalização indicando gás inflamável;</w:t>
      </w:r>
    </w:p>
    <w:p w:rsidR="00666F57" w:rsidRDefault="00666F57" w:rsidP="00666F57">
      <w:pPr>
        <w:pStyle w:val="PargrafodaLista"/>
        <w:numPr>
          <w:ilvl w:val="0"/>
          <w:numId w:val="23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Placa de sinalização com indicação de proibido fumar.</w:t>
      </w:r>
    </w:p>
    <w:p w:rsidR="0005703C" w:rsidRDefault="0005703C" w:rsidP="00666F57">
      <w:pPr>
        <w:spacing w:line="360" w:lineRule="auto"/>
        <w:jc w:val="both"/>
        <w:rPr>
          <w:rFonts w:ascii="Arial" w:hAnsi="Arial" w:cs="Arial"/>
        </w:rPr>
      </w:pPr>
    </w:p>
    <w:p w:rsidR="00666F57" w:rsidRPr="00666F57" w:rsidRDefault="00105A04" w:rsidP="00666F57">
      <w:pPr>
        <w:spacing w:line="360" w:lineRule="auto"/>
        <w:jc w:val="both"/>
        <w:rPr>
          <w:rFonts w:ascii="Arial" w:hAnsi="Arial" w:cs="Arial"/>
        </w:rPr>
      </w:pPr>
      <w:r w:rsidRPr="00666F57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5C0DD27" wp14:editId="52F0E13B">
            <wp:simplePos x="0" y="0"/>
            <wp:positionH relativeFrom="column">
              <wp:posOffset>1154108</wp:posOffset>
            </wp:positionH>
            <wp:positionV relativeFrom="paragraph">
              <wp:posOffset>6386</wp:posOffset>
            </wp:positionV>
            <wp:extent cx="1201794" cy="848864"/>
            <wp:effectExtent l="0" t="0" r="0" b="8890"/>
            <wp:wrapSquare wrapText="bothSides"/>
            <wp:docPr id="8" name="Imagem 8" descr="C:\Users\arotta\Desktop\IPE090__839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otta\Desktop\IPE090__83974_zo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19" cy="8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5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7DFD79E2" wp14:editId="0039D10F">
            <wp:simplePos x="0" y="0"/>
            <wp:positionH relativeFrom="column">
              <wp:posOffset>3000159</wp:posOffset>
            </wp:positionH>
            <wp:positionV relativeFrom="paragraph">
              <wp:posOffset>6386</wp:posOffset>
            </wp:positionV>
            <wp:extent cx="1173193" cy="827699"/>
            <wp:effectExtent l="0" t="0" r="8255" b="0"/>
            <wp:wrapSquare wrapText="bothSides"/>
            <wp:docPr id="9" name="Imagem 9" descr="C:\Users\arotta\Desktop\IPE092__324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otta\Desktop\IPE092__32400_zo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12" cy="8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BE9" w:rsidRDefault="00783BE9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p w:rsidR="0005703C" w:rsidRPr="00783BE9" w:rsidRDefault="0005703C" w:rsidP="00783BE9">
      <w:pPr>
        <w:pStyle w:val="PargrafodaLista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</w:p>
    <w:sectPr w:rsidR="0005703C" w:rsidRPr="00783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898"/>
    <w:multiLevelType w:val="hybridMultilevel"/>
    <w:tmpl w:val="D5EEA1A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51034D2"/>
    <w:multiLevelType w:val="hybridMultilevel"/>
    <w:tmpl w:val="21AC1B6C"/>
    <w:lvl w:ilvl="0" w:tplc="E0FE2D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4C350C"/>
    <w:multiLevelType w:val="hybridMultilevel"/>
    <w:tmpl w:val="C262CD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EC"/>
    <w:multiLevelType w:val="hybridMultilevel"/>
    <w:tmpl w:val="CB10BA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232750"/>
    <w:multiLevelType w:val="hybridMultilevel"/>
    <w:tmpl w:val="A2761DF4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2D95759E"/>
    <w:multiLevelType w:val="hybridMultilevel"/>
    <w:tmpl w:val="977E400C"/>
    <w:lvl w:ilvl="0" w:tplc="BD4EE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55AD7"/>
    <w:multiLevelType w:val="hybridMultilevel"/>
    <w:tmpl w:val="79C2A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7E6E"/>
    <w:multiLevelType w:val="hybridMultilevel"/>
    <w:tmpl w:val="7DF0F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406A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A4EFF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A5DF1"/>
    <w:multiLevelType w:val="hybridMultilevel"/>
    <w:tmpl w:val="07DCD5E0"/>
    <w:lvl w:ilvl="0" w:tplc="14E298E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9008D5"/>
    <w:multiLevelType w:val="hybridMultilevel"/>
    <w:tmpl w:val="1136975A"/>
    <w:lvl w:ilvl="0" w:tplc="DD9E6F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C1CC2"/>
    <w:multiLevelType w:val="hybridMultilevel"/>
    <w:tmpl w:val="F3C689FC"/>
    <w:lvl w:ilvl="0" w:tplc="6630C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D4159"/>
    <w:multiLevelType w:val="hybridMultilevel"/>
    <w:tmpl w:val="E0DCFC2C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2709D2"/>
    <w:multiLevelType w:val="hybridMultilevel"/>
    <w:tmpl w:val="73B6B16A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013EBD"/>
    <w:multiLevelType w:val="hybridMultilevel"/>
    <w:tmpl w:val="1C986598"/>
    <w:lvl w:ilvl="0" w:tplc="9DC080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1140FD5"/>
    <w:multiLevelType w:val="hybridMultilevel"/>
    <w:tmpl w:val="73B6B16A"/>
    <w:lvl w:ilvl="0" w:tplc="78E0C1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741499"/>
    <w:multiLevelType w:val="hybridMultilevel"/>
    <w:tmpl w:val="965830A6"/>
    <w:lvl w:ilvl="0" w:tplc="CF4AE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6322E"/>
    <w:multiLevelType w:val="hybridMultilevel"/>
    <w:tmpl w:val="24923EA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207686"/>
    <w:multiLevelType w:val="hybridMultilevel"/>
    <w:tmpl w:val="8286E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63193"/>
    <w:multiLevelType w:val="hybridMultilevel"/>
    <w:tmpl w:val="68D059B4"/>
    <w:lvl w:ilvl="0" w:tplc="BD4EE3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020920"/>
    <w:multiLevelType w:val="multilevel"/>
    <w:tmpl w:val="6AF0D91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8BA44E2"/>
    <w:multiLevelType w:val="hybridMultilevel"/>
    <w:tmpl w:val="C95C8588"/>
    <w:lvl w:ilvl="0" w:tplc="270691C2">
      <w:start w:val="1"/>
      <w:numFmt w:val="upperRoman"/>
      <w:lvlText w:val="%1)"/>
      <w:lvlJc w:val="left"/>
      <w:pPr>
        <w:ind w:left="1440" w:hanging="72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7"/>
  </w:num>
  <w:num w:numId="9">
    <w:abstractNumId w:val="8"/>
  </w:num>
  <w:num w:numId="10">
    <w:abstractNumId w:val="10"/>
  </w:num>
  <w:num w:numId="11">
    <w:abstractNumId w:val="22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5"/>
  </w:num>
  <w:num w:numId="20">
    <w:abstractNumId w:val="20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5"/>
    <w:rsid w:val="000255DB"/>
    <w:rsid w:val="0005703C"/>
    <w:rsid w:val="000A293C"/>
    <w:rsid w:val="000D0390"/>
    <w:rsid w:val="00105A04"/>
    <w:rsid w:val="00125BA5"/>
    <w:rsid w:val="001A71B0"/>
    <w:rsid w:val="001C0CFB"/>
    <w:rsid w:val="001E289A"/>
    <w:rsid w:val="002D5ADD"/>
    <w:rsid w:val="002E7E07"/>
    <w:rsid w:val="00364009"/>
    <w:rsid w:val="003F144D"/>
    <w:rsid w:val="003F4530"/>
    <w:rsid w:val="00467131"/>
    <w:rsid w:val="00647257"/>
    <w:rsid w:val="00666F57"/>
    <w:rsid w:val="00680DD4"/>
    <w:rsid w:val="00697B53"/>
    <w:rsid w:val="006C14EE"/>
    <w:rsid w:val="006E4141"/>
    <w:rsid w:val="00783BE9"/>
    <w:rsid w:val="007D2471"/>
    <w:rsid w:val="00804371"/>
    <w:rsid w:val="009C6F15"/>
    <w:rsid w:val="009E5B40"/>
    <w:rsid w:val="00A41081"/>
    <w:rsid w:val="00A56478"/>
    <w:rsid w:val="00A778BF"/>
    <w:rsid w:val="00AA4419"/>
    <w:rsid w:val="00AC481D"/>
    <w:rsid w:val="00AC4ED4"/>
    <w:rsid w:val="00AC6004"/>
    <w:rsid w:val="00B52CA1"/>
    <w:rsid w:val="00B822F1"/>
    <w:rsid w:val="00BB335E"/>
    <w:rsid w:val="00BC2BD1"/>
    <w:rsid w:val="00BE0956"/>
    <w:rsid w:val="00C04DFA"/>
    <w:rsid w:val="00CF2338"/>
    <w:rsid w:val="00D11B1C"/>
    <w:rsid w:val="00D449A5"/>
    <w:rsid w:val="00D924C5"/>
    <w:rsid w:val="00DB6B99"/>
    <w:rsid w:val="00E61887"/>
    <w:rsid w:val="00E7561E"/>
    <w:rsid w:val="00EC263B"/>
    <w:rsid w:val="00EE6DCF"/>
    <w:rsid w:val="00F01CF9"/>
    <w:rsid w:val="00F0660C"/>
    <w:rsid w:val="00F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F9D21-B12A-4841-962E-856F515C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F1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66F57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66F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3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3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 Rotta</dc:creator>
  <cp:keywords/>
  <dc:description/>
  <cp:lastModifiedBy>Andrea Castro Rotta</cp:lastModifiedBy>
  <cp:revision>2</cp:revision>
  <cp:lastPrinted>2017-03-02T17:39:00Z</cp:lastPrinted>
  <dcterms:created xsi:type="dcterms:W3CDTF">2017-03-02T17:42:00Z</dcterms:created>
  <dcterms:modified xsi:type="dcterms:W3CDTF">2017-03-02T17:42:00Z</dcterms:modified>
</cp:coreProperties>
</file>